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67" w:rsidRPr="00904E49" w:rsidRDefault="00653567">
      <w:pPr>
        <w:rPr>
          <w:rFonts w:ascii="Cambria" w:hAnsi="Cambria"/>
          <w:sz w:val="24"/>
          <w:szCs w:val="24"/>
        </w:rPr>
      </w:pPr>
    </w:p>
    <w:p w:rsidR="00904E49" w:rsidRPr="00904E49" w:rsidRDefault="00904E49">
      <w:pPr>
        <w:rPr>
          <w:rFonts w:ascii="Cambria" w:hAnsi="Cambria"/>
          <w:b/>
          <w:sz w:val="24"/>
          <w:szCs w:val="24"/>
        </w:rPr>
      </w:pPr>
      <w:r w:rsidRPr="00904E49">
        <w:rPr>
          <w:rFonts w:ascii="Cambria" w:hAnsi="Cambria"/>
          <w:b/>
          <w:sz w:val="24"/>
          <w:szCs w:val="24"/>
        </w:rPr>
        <w:t>Fechas importantes</w:t>
      </w:r>
    </w:p>
    <w:p w:rsidR="00904E49" w:rsidRPr="00904E49" w:rsidRDefault="00904E4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Las fechas importantes para la clase de datos Legitimación de Capitales con Base en Riesgos son las siguientes:</w:t>
      </w:r>
    </w:p>
    <w:p w:rsidR="00144283" w:rsidRPr="00904E49" w:rsidRDefault="00144283">
      <w:pPr>
        <w:rPr>
          <w:rFonts w:ascii="Cambria" w:hAnsi="Cambria"/>
          <w:sz w:val="24"/>
          <w:szCs w:val="24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4247"/>
        <w:gridCol w:w="4395"/>
      </w:tblGrid>
      <w:tr w:rsidR="00904E49" w:rsidRPr="00904E49" w:rsidTr="00904E49">
        <w:trPr>
          <w:trHeight w:val="422"/>
        </w:trPr>
        <w:tc>
          <w:tcPr>
            <w:tcW w:w="4247" w:type="dxa"/>
            <w:shd w:val="clear" w:color="auto" w:fill="D9D9D9" w:themeFill="background1" w:themeFillShade="D9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  <w:b/>
              </w:rPr>
            </w:pPr>
            <w:r w:rsidRPr="00904E49">
              <w:rPr>
                <w:rFonts w:ascii="Cambria" w:hAnsi="Cambria"/>
                <w:b/>
              </w:rPr>
              <w:t>Actividad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  <w:b/>
              </w:rPr>
            </w:pPr>
            <w:r w:rsidRPr="00904E49">
              <w:rPr>
                <w:rFonts w:ascii="Cambria" w:hAnsi="Cambria"/>
                <w:b/>
              </w:rPr>
              <w:t>Fechas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Charla a las entidades</w:t>
            </w:r>
          </w:p>
        </w:tc>
        <w:tc>
          <w:tcPr>
            <w:tcW w:w="4395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20 al 22 de febrero 2013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Envío de pruebas de las entidades</w:t>
            </w:r>
          </w:p>
        </w:tc>
        <w:tc>
          <w:tcPr>
            <w:tcW w:w="4395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18 al 29 de noviembre 2013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Se amplía el periodo de pruebas de las entidades</w:t>
            </w:r>
          </w:p>
        </w:tc>
        <w:tc>
          <w:tcPr>
            <w:tcW w:w="4395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03 al 06 de diciembre 2013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Inicio envío de información de esta clase de datos</w:t>
            </w:r>
          </w:p>
        </w:tc>
        <w:tc>
          <w:tcPr>
            <w:tcW w:w="4395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A más tardar el 28 de enero de 2014 (con información de octubre, noviembre y diciembre 2013)</w:t>
            </w:r>
          </w:p>
        </w:tc>
      </w:tr>
    </w:tbl>
    <w:p w:rsidR="00144283" w:rsidRPr="00904E49" w:rsidRDefault="00144283">
      <w:pPr>
        <w:rPr>
          <w:rFonts w:ascii="Cambria" w:hAnsi="Cambria"/>
          <w:sz w:val="24"/>
          <w:szCs w:val="24"/>
        </w:rPr>
      </w:pPr>
    </w:p>
    <w:p w:rsidR="00904E49" w:rsidRDefault="00904E49">
      <w:pPr>
        <w:rPr>
          <w:rFonts w:ascii="Cambria" w:hAnsi="Cambria"/>
          <w:sz w:val="24"/>
          <w:szCs w:val="24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976"/>
        <w:gridCol w:w="2687"/>
      </w:tblGrid>
      <w:tr w:rsidR="00904E49" w:rsidRPr="00904E49" w:rsidTr="00904E49">
        <w:trPr>
          <w:trHeight w:val="390"/>
        </w:trPr>
        <w:tc>
          <w:tcPr>
            <w:tcW w:w="2831" w:type="dxa"/>
            <w:shd w:val="clear" w:color="auto" w:fill="D9D9D9" w:themeFill="background1" w:themeFillShade="D9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  <w:b/>
              </w:rPr>
            </w:pPr>
            <w:r w:rsidRPr="00904E49">
              <w:rPr>
                <w:rFonts w:ascii="Cambria" w:hAnsi="Cambria"/>
                <w:b/>
              </w:rPr>
              <w:t>Periodos a reportar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  <w:b/>
              </w:rPr>
            </w:pPr>
            <w:r w:rsidRPr="00904E49">
              <w:rPr>
                <w:rFonts w:ascii="Cambria" w:hAnsi="Cambria"/>
                <w:b/>
              </w:rPr>
              <w:t>Meses a reportar</w:t>
            </w:r>
          </w:p>
        </w:tc>
        <w:tc>
          <w:tcPr>
            <w:tcW w:w="2687" w:type="dxa"/>
            <w:shd w:val="clear" w:color="auto" w:fill="D9D9D9" w:themeFill="background1" w:themeFillShade="D9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  <w:b/>
              </w:rPr>
            </w:pPr>
            <w:r w:rsidRPr="00904E49">
              <w:rPr>
                <w:rFonts w:ascii="Cambria" w:hAnsi="Cambria"/>
                <w:b/>
              </w:rPr>
              <w:t>Fecha límite de reporte</w:t>
            </w:r>
          </w:p>
        </w:tc>
      </w:tr>
      <w:tr w:rsidR="00904E49" w:rsidRPr="00904E49" w:rsidTr="00904E49">
        <w:tc>
          <w:tcPr>
            <w:tcW w:w="2831" w:type="dxa"/>
          </w:tcPr>
          <w:p w:rsidR="00904E49" w:rsidRPr="00904E49" w:rsidRDefault="00904E49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Diciembre 2013</w:t>
            </w:r>
          </w:p>
        </w:tc>
        <w:tc>
          <w:tcPr>
            <w:tcW w:w="2976" w:type="dxa"/>
          </w:tcPr>
          <w:p w:rsidR="00904E49" w:rsidRPr="00904E49" w:rsidRDefault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Octubre, noviembre y diciembre 2013</w:t>
            </w:r>
          </w:p>
        </w:tc>
        <w:tc>
          <w:tcPr>
            <w:tcW w:w="2687" w:type="dxa"/>
          </w:tcPr>
          <w:p w:rsidR="00904E49" w:rsidRPr="00904E49" w:rsidRDefault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 recibe en los primeros 28 días de enero 2014</w:t>
            </w:r>
          </w:p>
        </w:tc>
      </w:tr>
      <w:tr w:rsidR="00904E49" w:rsidRPr="00904E49" w:rsidTr="00904E49">
        <w:tc>
          <w:tcPr>
            <w:tcW w:w="2831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Marzo 2014</w:t>
            </w:r>
          </w:p>
        </w:tc>
        <w:tc>
          <w:tcPr>
            <w:tcW w:w="2976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Enero, febrero y marzo 2014</w:t>
            </w:r>
          </w:p>
        </w:tc>
        <w:tc>
          <w:tcPr>
            <w:tcW w:w="2687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 recibe en los primeros 28 días de abril 2014</w:t>
            </w:r>
          </w:p>
        </w:tc>
      </w:tr>
      <w:tr w:rsidR="00904E49" w:rsidRPr="00904E49" w:rsidTr="00904E49">
        <w:tc>
          <w:tcPr>
            <w:tcW w:w="2831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Junio 2014</w:t>
            </w:r>
          </w:p>
        </w:tc>
        <w:tc>
          <w:tcPr>
            <w:tcW w:w="2976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Abril, mayo y junio 2014</w:t>
            </w:r>
          </w:p>
        </w:tc>
        <w:tc>
          <w:tcPr>
            <w:tcW w:w="2687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 recibe en los primeros 28 días de julio 2014</w:t>
            </w:r>
          </w:p>
        </w:tc>
      </w:tr>
      <w:tr w:rsidR="00904E49" w:rsidRPr="00904E49" w:rsidTr="00904E49">
        <w:tc>
          <w:tcPr>
            <w:tcW w:w="2831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Setiembre 2014</w:t>
            </w:r>
          </w:p>
        </w:tc>
        <w:tc>
          <w:tcPr>
            <w:tcW w:w="2976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Julio, agosto y setiembre 2014</w:t>
            </w:r>
          </w:p>
        </w:tc>
        <w:tc>
          <w:tcPr>
            <w:tcW w:w="2687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 recibe en los primeros 28 días de octubre 2014</w:t>
            </w:r>
          </w:p>
        </w:tc>
      </w:tr>
      <w:tr w:rsidR="00904E49" w:rsidRPr="00904E49" w:rsidTr="00904E49">
        <w:tc>
          <w:tcPr>
            <w:tcW w:w="2831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Diciembre 2014</w:t>
            </w:r>
          </w:p>
        </w:tc>
        <w:tc>
          <w:tcPr>
            <w:tcW w:w="2976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Octubre, noviembre y diciembre 2014</w:t>
            </w:r>
          </w:p>
        </w:tc>
        <w:tc>
          <w:tcPr>
            <w:tcW w:w="2687" w:type="dxa"/>
          </w:tcPr>
          <w:p w:rsidR="00904E49" w:rsidRPr="00904E49" w:rsidRDefault="00904E49" w:rsidP="00904E4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 recibe en los primeros 28 días de enero 2015</w:t>
            </w:r>
          </w:p>
        </w:tc>
      </w:tr>
      <w:tr w:rsidR="003E2DC6" w:rsidRPr="00904E49" w:rsidTr="001F2834">
        <w:tc>
          <w:tcPr>
            <w:tcW w:w="8494" w:type="dxa"/>
            <w:gridSpan w:val="3"/>
          </w:tcPr>
          <w:p w:rsidR="003E2DC6" w:rsidRPr="00904E49" w:rsidRDefault="003E2DC6">
            <w:pPr>
              <w:rPr>
                <w:rFonts w:ascii="Cambria" w:hAnsi="Cambria"/>
              </w:rPr>
            </w:pPr>
            <w:r w:rsidRPr="00904E49">
              <w:rPr>
                <w:rFonts w:ascii="Cambria" w:hAnsi="Cambria"/>
              </w:rPr>
              <w:t>Y así sucesivamente</w:t>
            </w:r>
          </w:p>
        </w:tc>
      </w:tr>
    </w:tbl>
    <w:p w:rsidR="00904E49" w:rsidRPr="00904E49" w:rsidRDefault="00904E49">
      <w:pPr>
        <w:rPr>
          <w:rFonts w:ascii="Cambria" w:hAnsi="Cambria"/>
          <w:sz w:val="24"/>
          <w:szCs w:val="24"/>
        </w:rPr>
      </w:pPr>
    </w:p>
    <w:sectPr w:rsidR="00904E49" w:rsidRPr="00904E4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1A" w:rsidRDefault="00AD101A" w:rsidP="00AD101A">
      <w:pPr>
        <w:spacing w:after="0" w:line="240" w:lineRule="auto"/>
      </w:pPr>
      <w:r>
        <w:separator/>
      </w:r>
    </w:p>
  </w:endnote>
  <w:endnote w:type="continuationSeparator" w:id="0">
    <w:p w:rsidR="00AD101A" w:rsidRDefault="00AD101A" w:rsidP="00AD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01A" w:rsidRDefault="00AD101A">
    <w:pPr>
      <w:pStyle w:val="Piedepgina"/>
    </w:pPr>
  </w:p>
  <w:tbl>
    <w:tblPr>
      <w:tblW w:w="9018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4"/>
      <w:gridCol w:w="1980"/>
      <w:gridCol w:w="1980"/>
      <w:gridCol w:w="2654"/>
    </w:tblGrid>
    <w:tr w:rsidR="00AD101A" w:rsidTr="0032603E">
      <w:trPr>
        <w:trHeight w:val="546"/>
        <w:jc w:val="center"/>
      </w:trPr>
      <w:tc>
        <w:tcPr>
          <w:tcW w:w="240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Teléfono</w:t>
          </w:r>
          <w:r>
            <w:rPr>
              <w:rFonts w:ascii="Arial" w:hAnsi="Arial"/>
              <w:sz w:val="16"/>
            </w:rPr>
            <w:t xml:space="preserve">   (506) 2243-4848</w:t>
          </w:r>
        </w:p>
        <w:p w:rsidR="00AD101A" w:rsidRDefault="00AD101A" w:rsidP="00AD101A">
          <w:pPr>
            <w:pStyle w:val="Piedepgina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Facsímile</w:t>
          </w:r>
          <w:r>
            <w:rPr>
              <w:rFonts w:ascii="Arial" w:hAnsi="Arial"/>
              <w:sz w:val="16"/>
            </w:rPr>
            <w:t xml:space="preserve">  (506) 2243-4849</w:t>
          </w:r>
        </w:p>
      </w:tc>
      <w:tc>
        <w:tcPr>
          <w:tcW w:w="198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ind w:left="189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Apartado</w:t>
          </w:r>
          <w:r>
            <w:rPr>
              <w:rFonts w:ascii="Arial" w:hAnsi="Arial"/>
              <w:sz w:val="16"/>
            </w:rPr>
            <w:t xml:space="preserve"> 2762-1000</w:t>
          </w:r>
        </w:p>
        <w:p w:rsidR="00AD101A" w:rsidRDefault="00AD101A" w:rsidP="00AD101A">
          <w:pPr>
            <w:pStyle w:val="Piedepgina"/>
            <w:ind w:left="189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San José, Costa Rica</w:t>
          </w:r>
        </w:p>
      </w:tc>
      <w:tc>
        <w:tcPr>
          <w:tcW w:w="198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b/>
              <w:bCs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Correo electrónico:</w:t>
          </w:r>
        </w:p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sugefcr@sugef.fi.cr</w:t>
          </w:r>
        </w:p>
      </w:tc>
      <w:tc>
        <w:tcPr>
          <w:tcW w:w="2654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Internet:</w:t>
          </w:r>
          <w:r>
            <w:rPr>
              <w:rFonts w:ascii="Arial" w:hAnsi="Arial"/>
              <w:sz w:val="16"/>
            </w:rPr>
            <w:t xml:space="preserve"> www.sugef.fi.cr</w:t>
          </w:r>
        </w:p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</w:p>
      </w:tc>
    </w:tr>
  </w:tbl>
  <w:p w:rsidR="00AD101A" w:rsidRDefault="00AD101A">
    <w:pPr>
      <w:pStyle w:val="Piedepgina"/>
    </w:pPr>
  </w:p>
  <w:p w:rsidR="00AD101A" w:rsidRDefault="00AD10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1A" w:rsidRDefault="00AD101A" w:rsidP="00AD101A">
      <w:pPr>
        <w:spacing w:after="0" w:line="240" w:lineRule="auto"/>
      </w:pPr>
      <w:r>
        <w:separator/>
      </w:r>
    </w:p>
  </w:footnote>
  <w:footnote w:type="continuationSeparator" w:id="0">
    <w:p w:rsidR="00AD101A" w:rsidRDefault="00AD101A" w:rsidP="00AD1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01A" w:rsidRDefault="00AD101A" w:rsidP="00AD101A">
    <w:pPr>
      <w:pBdr>
        <w:bottom w:val="single" w:sz="4" w:space="3" w:color="auto"/>
      </w:pBdr>
      <w:tabs>
        <w:tab w:val="center" w:pos="4320"/>
        <w:tab w:val="right" w:pos="8640"/>
      </w:tabs>
      <w:ind w:right="-1"/>
      <w:jc w:val="center"/>
    </w:pPr>
    <w:r w:rsidRPr="007C4B63">
      <w:rPr>
        <w:noProof/>
        <w:lang w:eastAsia="es-ES"/>
      </w:rPr>
      <w:drawing>
        <wp:inline distT="0" distB="0" distL="0" distR="0" wp14:anchorId="3CB22C56" wp14:editId="1A5BB87C">
          <wp:extent cx="1085850" cy="685800"/>
          <wp:effectExtent l="0" t="0" r="0" b="0"/>
          <wp:docPr id="2" name="Imagen 2" descr="Descripción: SUG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Descripción: SUGE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6000"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4793">
      <w:rPr>
        <w:lang w:eastAsia="es-ES"/>
      </w:rPr>
      <w:t xml:space="preserve"> </w:t>
    </w:r>
    <w:r w:rsidRPr="00954793">
      <w:rPr>
        <w:rFonts w:ascii="Arial" w:hAnsi="Arial"/>
        <w:b/>
        <w:lang w:eastAsia="es-ES"/>
      </w:rPr>
      <w:t>SUPERINTENDENCIA GENERAL DE ENTIDADES FINANCIERAS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853"/>
    <w:rsid w:val="00144283"/>
    <w:rsid w:val="003E2DC6"/>
    <w:rsid w:val="00653567"/>
    <w:rsid w:val="00904E49"/>
    <w:rsid w:val="00AD101A"/>
    <w:rsid w:val="00EB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5F1261C-7BBA-4BF0-84EB-A6124999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1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101A"/>
  </w:style>
  <w:style w:type="paragraph" w:styleId="Piedepgina">
    <w:name w:val="footer"/>
    <w:basedOn w:val="Normal"/>
    <w:link w:val="PiedepginaCar"/>
    <w:uiPriority w:val="99"/>
    <w:unhideWhenUsed/>
    <w:rsid w:val="00AD1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101A"/>
  </w:style>
  <w:style w:type="table" w:styleId="Tablaconcuadrcula">
    <w:name w:val="Table Grid"/>
    <w:basedOn w:val="Tablanormal"/>
    <w:uiPriority w:val="39"/>
    <w:rsid w:val="00904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73F6E93-0D65-41E1-AD87-25D0CD90E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PIRITA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Milady Vargas Olivares</dc:creator>
  <cp:keywords/>
  <dc:description/>
  <cp:lastModifiedBy>Milady Vargas Olivares</cp:lastModifiedBy>
  <cp:revision>2</cp:revision>
  <dcterms:created xsi:type="dcterms:W3CDTF">2015-03-23T17:56:00Z</dcterms:created>
  <dcterms:modified xsi:type="dcterms:W3CDTF">2015-03-23T19:40:00Z</dcterms:modified>
</cp:coreProperties>
</file>